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D7C" w:rsidRDefault="00872D7C" w:rsidP="00872D7C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1.7</w:t>
      </w:r>
    </w:p>
    <w:p w:rsidR="007B5E33" w:rsidRDefault="007B5E33">
      <w:pPr>
        <w:pStyle w:val="ConsPlusTitlePage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6">
        <w:proofErr w:type="spellStart"/>
        <w:r w:rsidRPr="00872D7C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872D7C">
        <w:rPr>
          <w:rFonts w:ascii="Times New Roman" w:hAnsi="Times New Roman" w:cs="Times New Roman"/>
          <w:sz w:val="24"/>
          <w:szCs w:val="24"/>
        </w:rPr>
        <w:br/>
      </w:r>
    </w:p>
    <w:p w:rsidR="001D1825" w:rsidRPr="00872D7C" w:rsidRDefault="001D1825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ПИСЬМО</w:t>
      </w: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от 28 января 2025 г. N 31-2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>/И</w:t>
      </w:r>
      <w:proofErr w:type="gramEnd"/>
      <w:r w:rsidRPr="00872D7C">
        <w:rPr>
          <w:rFonts w:ascii="Times New Roman" w:hAnsi="Times New Roman" w:cs="Times New Roman"/>
          <w:sz w:val="24"/>
          <w:szCs w:val="24"/>
        </w:rPr>
        <w:t>/2-1304</w:t>
      </w: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О МЕТОДИЧЕСКИХ РЕКОМЕНДАЦИЯХ</w:t>
      </w: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ПО СПОСОБАМ ОПЛАТЫ МЕДИЦИНСКОЙ ПОМОЩИ ЗА СЧЕТ СРЕДСТВ</w:t>
      </w: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1D1825" w:rsidRPr="00872D7C" w:rsidRDefault="001D1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D7C">
        <w:rPr>
          <w:rFonts w:ascii="Times New Roman" w:hAnsi="Times New Roman" w:cs="Times New Roman"/>
          <w:sz w:val="24"/>
          <w:szCs w:val="24"/>
        </w:rPr>
        <w:t xml:space="preserve">Министерство здравоохранения Российской Федерации направляет для руководства и использования в работе Методические </w:t>
      </w:r>
      <w:hyperlink w:anchor="P24">
        <w:r w:rsidRPr="00872D7C">
          <w:rPr>
            <w:rFonts w:ascii="Times New Roman" w:hAnsi="Times New Roman" w:cs="Times New Roman"/>
            <w:color w:val="0000FF"/>
            <w:sz w:val="24"/>
            <w:szCs w:val="24"/>
          </w:rPr>
          <w:t>рекомендации</w:t>
        </w:r>
      </w:hyperlink>
      <w:r w:rsidRPr="00872D7C">
        <w:rPr>
          <w:rFonts w:ascii="Times New Roman" w:hAnsi="Times New Roman" w:cs="Times New Roman"/>
          <w:sz w:val="24"/>
          <w:szCs w:val="24"/>
        </w:rPr>
        <w:t xml:space="preserve"> по способам оплаты медицинской помощи за счет средств обязательного медицинского страхования, разработанные рабочей группой Министерства здравоохранения Российской Федерации по актуализации методологических подходов к оплате медицинской помощи за счет средств обязательного медицинского страхования в рамках программы государственных гарантий бесплатного оказания гражданам медицинской помощи (утверждена приказом Министерства здравоохранения Российской</w:t>
      </w:r>
      <w:proofErr w:type="gramEnd"/>
      <w:r w:rsidRPr="00872D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 xml:space="preserve">Федерации от 13 мая 2022 г. N 321), взамен Методических рекомендаций по способам оплаты медицинской помощи за счет средств обязательного медицинского страхования, направленных в субъекты Российской Федерации совместным </w:t>
      </w:r>
      <w:hyperlink r:id="rId7">
        <w:r w:rsidRPr="00872D7C">
          <w:rPr>
            <w:rFonts w:ascii="Times New Roman" w:hAnsi="Times New Roman" w:cs="Times New Roman"/>
            <w:color w:val="0000FF"/>
            <w:sz w:val="24"/>
            <w:szCs w:val="24"/>
          </w:rPr>
          <w:t>письмом</w:t>
        </w:r>
      </w:hyperlink>
      <w:r w:rsidRPr="00872D7C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и Федерального фонда обязательного медицинского страхования от 19 февраля 2024 г. N 31-2/200-00-10-26-2-06/2778.</w:t>
      </w:r>
      <w:proofErr w:type="gramEnd"/>
    </w:p>
    <w:p w:rsidR="001D1825" w:rsidRPr="00872D7C" w:rsidRDefault="001D1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В.А.ЗЕЛЕНСКИЙ</w:t>
      </w:r>
    </w:p>
    <w:p w:rsidR="001D1825" w:rsidRPr="00872D7C" w:rsidRDefault="001D1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br w:type="page"/>
      </w:r>
    </w:p>
    <w:p w:rsidR="001D1825" w:rsidRPr="00872D7C" w:rsidRDefault="001D182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D1825" w:rsidRPr="00872D7C" w:rsidRDefault="001D1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ФЕДЕРАЛЬНЫЙ ФОНД ОБЯЗАТЕЛЬНОГО МЕДИЦИНСКОГО СТРАХОВАНИЯ</w:t>
      </w: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4"/>
      <w:bookmarkEnd w:id="1"/>
      <w:r w:rsidRPr="00872D7C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ПО СПОСОБАМ ОПЛАТЫ МЕДИЦИНСКОЙ ПОМОЩИ ЗА СЧЕТ СРЕДСТВ</w:t>
      </w: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1D1825" w:rsidRPr="00872D7C" w:rsidRDefault="001D182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Первый заместитель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Министра здравоохранения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В.А.ЗЕЛЕНСКИЙ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от 28.01.2025 N 31-2/115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Федерального фонда обязательного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медицинского страхования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И.В.БАЛАНИН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от 28.01.2025 N 00-10-26-2-06/965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Одобрено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решением рабочей группы Министерства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здравоохранения Российской Федерации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в части оплаты медицинской помощи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 xml:space="preserve">в условиях 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>круглосуточного</w:t>
      </w:r>
      <w:proofErr w:type="gramEnd"/>
      <w:r w:rsidRPr="00872D7C">
        <w:rPr>
          <w:rFonts w:ascii="Times New Roman" w:hAnsi="Times New Roman" w:cs="Times New Roman"/>
          <w:sz w:val="24"/>
          <w:szCs w:val="24"/>
        </w:rPr>
        <w:t xml:space="preserve"> и дневного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 xml:space="preserve">стационаров по 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>клинико-статистическим</w:t>
      </w:r>
      <w:proofErr w:type="gramEnd"/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 xml:space="preserve">группам за счет средств 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>обязательного</w:t>
      </w:r>
      <w:proofErr w:type="gramEnd"/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медицинского страхования в рамках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программы государственных гарантий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бесплатного оказания гражданам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медицинской помощи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72D7C">
        <w:rPr>
          <w:rFonts w:ascii="Times New Roman" w:hAnsi="Times New Roman" w:cs="Times New Roman"/>
          <w:sz w:val="24"/>
          <w:szCs w:val="24"/>
        </w:rPr>
        <w:t>(протокол заседания</w:t>
      </w:r>
      <w:proofErr w:type="gramEnd"/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от 24.10.2024 N 90/31-2/550)</w:t>
      </w:r>
    </w:p>
    <w:p w:rsidR="001D1825" w:rsidRPr="00872D7C" w:rsidRDefault="001D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br w:type="page"/>
      </w:r>
    </w:p>
    <w:p w:rsidR="000B148A" w:rsidRPr="00872D7C" w:rsidRDefault="000B148A" w:rsidP="000B148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lastRenderedPageBreak/>
        <w:t xml:space="preserve">СПОСОБЫ ОПЛАТЫ МЕДИЦИНСКОЙ ПОМОЩИ В 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>СТАЦИОНАРНЫХ</w:t>
      </w:r>
      <w:proofErr w:type="gramEnd"/>
    </w:p>
    <w:p w:rsidR="000B148A" w:rsidRPr="00872D7C" w:rsidRDefault="000B148A" w:rsidP="000B14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72D7C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872D7C">
        <w:rPr>
          <w:rFonts w:ascii="Times New Roman" w:hAnsi="Times New Roman" w:cs="Times New Roman"/>
          <w:sz w:val="24"/>
          <w:szCs w:val="24"/>
        </w:rPr>
        <w:t xml:space="preserve"> И В УСЛОВИЯХ ДНЕВНОГО СТАЦИОНАРА НА ОСНОВЕ ГРУПП</w:t>
      </w:r>
    </w:p>
    <w:p w:rsidR="000B148A" w:rsidRPr="00872D7C" w:rsidRDefault="000B148A" w:rsidP="000B14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ЗАБОЛЕВАНИЙ, В ТОМ ЧИСЛЕ КЛИНИКО-СТАТИСТИЧЕСКИХ ГРУПП (КСГ)</w:t>
      </w:r>
    </w:p>
    <w:p w:rsidR="000B148A" w:rsidRPr="00872D7C" w:rsidRDefault="000B148A" w:rsidP="000B14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B148A" w:rsidRPr="00872D7C" w:rsidRDefault="000B148A" w:rsidP="000B148A">
      <w:pPr>
        <w:pStyle w:val="ConsPlusTitle"/>
        <w:ind w:firstLine="5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2. Основные подходы к оплате медицинской помощи по КСГ</w:t>
      </w:r>
    </w:p>
    <w:p w:rsidR="00872D7C" w:rsidRPr="00872D7C" w:rsidRDefault="00872D7C" w:rsidP="00872D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 xml:space="preserve">При оплате медицинской помощи, оказываемой в стационарных условиях и в условиях дневного стационара, в составе КСГ в тарифном соглашении могут быть выделены подгруппы, в том числе с учетом иных классификационных критериев, устанавливаемых в субъекте Российской Федерации. При этом данный классификационный критерий должен быть в обязательном порядке включен в реестр счетов, формируемый медицинскими организациями и передаваемый в территориальный фонд обязательного медицинского страхования. В качестве дополнительно установленных классификационных критериев могут быть определены: длительное пребывание на профильной койке (реанимационные, реанимационные для новорожденных, интенсивной терапии, интенсивной терапии для новорожденных) или использование дорогостоящих реанимационных технологий, дорогостоящих лекарственных препаратов (расходных материалов), уровень оказания медицинской помощи в случае сложившейся однообразной </w:t>
      </w:r>
      <w:proofErr w:type="spellStart"/>
      <w:r w:rsidRPr="00872D7C">
        <w:rPr>
          <w:rFonts w:ascii="Times New Roman" w:hAnsi="Times New Roman" w:cs="Times New Roman"/>
          <w:sz w:val="24"/>
          <w:szCs w:val="24"/>
        </w:rPr>
        <w:t>этапности</w:t>
      </w:r>
      <w:proofErr w:type="spellEnd"/>
      <w:r w:rsidRPr="00872D7C">
        <w:rPr>
          <w:rFonts w:ascii="Times New Roman" w:hAnsi="Times New Roman" w:cs="Times New Roman"/>
          <w:sz w:val="24"/>
          <w:szCs w:val="24"/>
        </w:rPr>
        <w:t xml:space="preserve"> ее оказания 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72D7C">
        <w:rPr>
          <w:rFonts w:ascii="Times New Roman" w:hAnsi="Times New Roman" w:cs="Times New Roman"/>
          <w:sz w:val="24"/>
          <w:szCs w:val="24"/>
        </w:rPr>
        <w:t xml:space="preserve"> конкретной КСГ.</w:t>
      </w:r>
    </w:p>
    <w:p w:rsidR="00872D7C" w:rsidRPr="00872D7C" w:rsidRDefault="00872D7C" w:rsidP="00872D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D7C">
        <w:rPr>
          <w:rFonts w:ascii="Times New Roman" w:hAnsi="Times New Roman" w:cs="Times New Roman"/>
          <w:sz w:val="24"/>
          <w:szCs w:val="24"/>
        </w:rPr>
        <w:t xml:space="preserve">При этом совокупность подгрупп в составе базовой КСГ должна включать в себя полный объем медицинской помощи, включенный в базовую КСГ в соответствии с </w:t>
      </w:r>
      <w:hyperlink r:id="rId8">
        <w:r w:rsidRPr="00872D7C">
          <w:rPr>
            <w:rFonts w:ascii="Times New Roman" w:hAnsi="Times New Roman" w:cs="Times New Roman"/>
            <w:color w:val="0000FF"/>
            <w:sz w:val="24"/>
            <w:szCs w:val="24"/>
          </w:rPr>
          <w:t>Приложением N 4</w:t>
        </w:r>
      </w:hyperlink>
      <w:r w:rsidRPr="00872D7C">
        <w:rPr>
          <w:rFonts w:ascii="Times New Roman" w:hAnsi="Times New Roman" w:cs="Times New Roman"/>
          <w:sz w:val="24"/>
          <w:szCs w:val="24"/>
        </w:rPr>
        <w:t xml:space="preserve"> к Программе.</w:t>
      </w:r>
      <w:proofErr w:type="gramEnd"/>
      <w:r w:rsidRPr="00872D7C">
        <w:rPr>
          <w:rFonts w:ascii="Times New Roman" w:hAnsi="Times New Roman" w:cs="Times New Roman"/>
          <w:sz w:val="24"/>
          <w:szCs w:val="24"/>
        </w:rPr>
        <w:t xml:space="preserve"> Исключение из модели КСГ отдельных диагнозов, медицинских услуг, дополнительных классификационных критериев или их сочетаний не допускается, в том числе в случае, если указанная медицинская помощь предоставляется вне территории субъекта Российской Федерации.</w:t>
      </w:r>
    </w:p>
    <w:p w:rsidR="00872D7C" w:rsidRPr="00872D7C" w:rsidRDefault="00872D7C" w:rsidP="00872D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 xml:space="preserve">Также целесообразно выделение подгрупп в случае, если фактический объем затрат медицинских организаций при оказании медицинской помощи в отдельных случаях лечения, включенных в 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>базовую</w:t>
      </w:r>
      <w:proofErr w:type="gramEnd"/>
      <w:r w:rsidRPr="00872D7C">
        <w:rPr>
          <w:rFonts w:ascii="Times New Roman" w:hAnsi="Times New Roman" w:cs="Times New Roman"/>
          <w:sz w:val="24"/>
          <w:szCs w:val="24"/>
        </w:rPr>
        <w:t xml:space="preserve"> КСГ, значительно отклоняется от установленной стоимости базовой КСГ.</w:t>
      </w:r>
    </w:p>
    <w:p w:rsidR="00872D7C" w:rsidRPr="00872D7C" w:rsidRDefault="00872D7C" w:rsidP="00872D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2D7C">
        <w:rPr>
          <w:rFonts w:ascii="Times New Roman" w:hAnsi="Times New Roman" w:cs="Times New Roman"/>
          <w:sz w:val="24"/>
          <w:szCs w:val="24"/>
        </w:rPr>
        <w:t xml:space="preserve">Выделение дорогостоящих лекарственных препаратов (расходных материалов) в качестве классификационных критериев возможно при наличии конкретных показаний, определенных клиническими рекомендациями в ограниченном количестве случаев, входящих в базовую КСГ, только для лекарственных препаратов, входящих в </w:t>
      </w:r>
      <w:hyperlink r:id="rId9">
        <w:r w:rsidRPr="00872D7C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872D7C">
        <w:rPr>
          <w:rFonts w:ascii="Times New Roman" w:hAnsi="Times New Roman" w:cs="Times New Roman"/>
          <w:sz w:val="24"/>
          <w:szCs w:val="24"/>
        </w:rPr>
        <w:t xml:space="preserve"> жизненно необходимых и важнейших лекарственных препаратов для медицинского применения, утвержденный распоряжением Правительства Российской Федерации от 12 октября 2019 г. N 2406-р, и расходных материалов, включенных в утвержденный</w:t>
      </w:r>
      <w:proofErr w:type="gramEnd"/>
      <w:r w:rsidRPr="00872D7C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31 декабря 2018 г. N 3053-р </w:t>
      </w:r>
      <w:hyperlink r:id="rId10">
        <w:r w:rsidRPr="00872D7C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872D7C">
        <w:rPr>
          <w:rFonts w:ascii="Times New Roman" w:hAnsi="Times New Roman" w:cs="Times New Roman"/>
          <w:sz w:val="24"/>
          <w:szCs w:val="24"/>
        </w:rPr>
        <w:t xml:space="preserve"> медицинских изделий,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помощи. Дифференцирующими признаками в таких подгруппах могут быть как услуги по применению определенных групп лекарственных препаратов, так и применение МНН или схемы лекарственной терапии. Уровень затрат определяется исходя из сложившегося среднего уровня закупочных цен на данные препараты в субъекте Российской Федерации, либо в соответствии с зарегистрированными предельными отпускными ценами на них.</w:t>
      </w:r>
    </w:p>
    <w:p w:rsidR="00872D7C" w:rsidRPr="00872D7C" w:rsidRDefault="00872D7C" w:rsidP="000B14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br w:type="page"/>
      </w:r>
    </w:p>
    <w:p w:rsidR="001D1825" w:rsidRPr="00872D7C" w:rsidRDefault="001D182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lastRenderedPageBreak/>
        <w:t>Приложение 9</w:t>
      </w:r>
    </w:p>
    <w:p w:rsidR="001D1825" w:rsidRPr="00872D7C" w:rsidRDefault="001D1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 w:rsidP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4772"/>
      <w:bookmarkEnd w:id="2"/>
      <w:r w:rsidRPr="00872D7C">
        <w:rPr>
          <w:rFonts w:ascii="Times New Roman" w:hAnsi="Times New Roman" w:cs="Times New Roman"/>
          <w:sz w:val="24"/>
          <w:szCs w:val="24"/>
        </w:rPr>
        <w:t xml:space="preserve">ОСОБЕННОСТИ ФОРМИРОВАНИЯ 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>ОТДЕЛЬНЫХ</w:t>
      </w:r>
      <w:proofErr w:type="gramEnd"/>
      <w:r w:rsidRPr="00872D7C">
        <w:rPr>
          <w:rFonts w:ascii="Times New Roman" w:hAnsi="Times New Roman" w:cs="Times New Roman"/>
          <w:sz w:val="24"/>
          <w:szCs w:val="24"/>
        </w:rPr>
        <w:t xml:space="preserve"> КСГ</w:t>
      </w:r>
    </w:p>
    <w:p w:rsidR="001D1825" w:rsidRPr="00872D7C" w:rsidRDefault="001D1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 xml:space="preserve">15. Лекарственная терапия с применением 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>генно-инженерных</w:t>
      </w:r>
      <w:proofErr w:type="gramEnd"/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биологических препаратов и селективных иммунодепрессантов</w:t>
      </w:r>
    </w:p>
    <w:p w:rsidR="001D1825" w:rsidRPr="00872D7C" w:rsidRDefault="001D1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 xml:space="preserve">15.1. Особенности формирования КСГ </w:t>
      </w:r>
      <w:hyperlink r:id="rId11">
        <w:r w:rsidRPr="00872D7C">
          <w:rPr>
            <w:rFonts w:ascii="Times New Roman" w:hAnsi="Times New Roman" w:cs="Times New Roman"/>
            <w:color w:val="0000FF"/>
            <w:sz w:val="24"/>
            <w:szCs w:val="24"/>
          </w:rPr>
          <w:t>st36.028</w:t>
        </w:r>
      </w:hyperlink>
      <w:r w:rsidRPr="00872D7C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1D1825" w:rsidRPr="00872D7C" w:rsidRDefault="0071402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hyperlink r:id="rId12">
        <w:r w:rsidR="001D1825" w:rsidRPr="00872D7C">
          <w:rPr>
            <w:rFonts w:ascii="Times New Roman" w:hAnsi="Times New Roman" w:cs="Times New Roman"/>
            <w:color w:val="0000FF"/>
            <w:sz w:val="24"/>
            <w:szCs w:val="24"/>
          </w:rPr>
          <w:t>st36.047</w:t>
        </w:r>
      </w:hyperlink>
      <w:r w:rsidR="001D1825" w:rsidRPr="00872D7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3">
        <w:r w:rsidR="001D1825" w:rsidRPr="00872D7C">
          <w:rPr>
            <w:rFonts w:ascii="Times New Roman" w:hAnsi="Times New Roman" w:cs="Times New Roman"/>
            <w:color w:val="0000FF"/>
            <w:sz w:val="24"/>
            <w:szCs w:val="24"/>
          </w:rPr>
          <w:t>ds36.015</w:t>
        </w:r>
      </w:hyperlink>
      <w:r w:rsidR="001D1825" w:rsidRPr="00872D7C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">
        <w:r w:rsidR="001D1825" w:rsidRPr="00872D7C">
          <w:rPr>
            <w:rFonts w:ascii="Times New Roman" w:hAnsi="Times New Roman" w:cs="Times New Roman"/>
            <w:color w:val="0000FF"/>
            <w:sz w:val="24"/>
            <w:szCs w:val="24"/>
          </w:rPr>
          <w:t>ds36.034</w:t>
        </w:r>
      </w:hyperlink>
      <w:r w:rsidR="001D1825" w:rsidRPr="00872D7C">
        <w:rPr>
          <w:rFonts w:ascii="Times New Roman" w:hAnsi="Times New Roman" w:cs="Times New Roman"/>
          <w:sz w:val="24"/>
          <w:szCs w:val="24"/>
        </w:rPr>
        <w:t xml:space="preserve"> "Лечение с применением</w:t>
      </w: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генно-инженерных биологических препаратов и селективных</w:t>
      </w:r>
    </w:p>
    <w:p w:rsidR="001D1825" w:rsidRPr="00872D7C" w:rsidRDefault="001D18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иммунодепрессантов (уровни 1 - 20)"</w:t>
      </w:r>
    </w:p>
    <w:p w:rsidR="001D1825" w:rsidRPr="00872D7C" w:rsidRDefault="001D1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1825" w:rsidRPr="00872D7C" w:rsidRDefault="001D18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Отнесение к данным КСГ производится по комбинации иного классификационного критерия из диапазона "gsh001" - "gsh154", соответствующего МНН лекарственного препарата, наименованию и описанию схемы, количеству дней введения в соответствии со справочником "ГИБП, схемы ЛТ" файла "Расшифровка групп" и кода возраста "5" (от 0 дней до 18 лет) или "6" (старше 18 лет).</w:t>
      </w:r>
    </w:p>
    <w:p w:rsidR="001D1825" w:rsidRPr="00872D7C" w:rsidRDefault="001D18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 xml:space="preserve">Код возраста "6" применяется в случае, если схема лекарственной терапии назначается только пациентам старше 18 лет, а код возраста "5" в случае, если схема лекарственной терапии назначается только пациентам в возрасте от 0 дней до 18 лет. 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>Также код возраста применяется в случае, если лекарственный препарат в соответствии с инструкцией по применению назначается в дозе из расчета на кг веса (мг/кг), и данная дозировка совпадает для пациентов в возрасте от 0 дней до 18 лет и пациентов старше 18 лет, при этом случаи лечения с применением данных схем могут быть отнесены к разным КСГ в зависимости</w:t>
      </w:r>
      <w:proofErr w:type="gramEnd"/>
      <w:r w:rsidRPr="00872D7C">
        <w:rPr>
          <w:rFonts w:ascii="Times New Roman" w:hAnsi="Times New Roman" w:cs="Times New Roman"/>
          <w:sz w:val="24"/>
          <w:szCs w:val="24"/>
        </w:rPr>
        <w:t xml:space="preserve"> от возраста пациента. Код возраста не указан для схем, применение которых возможно у детей и взрослых, при этом оплата не зависит от возраста пациента. Периодичность подачи счетов на оплату случаев госпитализации при лечении одного пациента по КСГ </w:t>
      </w:r>
      <w:hyperlink r:id="rId15">
        <w:r w:rsidRPr="00872D7C">
          <w:rPr>
            <w:rFonts w:ascii="Times New Roman" w:hAnsi="Times New Roman" w:cs="Times New Roman"/>
            <w:color w:val="0000FF"/>
            <w:sz w:val="24"/>
            <w:szCs w:val="24"/>
          </w:rPr>
          <w:t>st36.028</w:t>
        </w:r>
      </w:hyperlink>
      <w:r w:rsidRPr="00872D7C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">
        <w:r w:rsidRPr="00872D7C">
          <w:rPr>
            <w:rFonts w:ascii="Times New Roman" w:hAnsi="Times New Roman" w:cs="Times New Roman"/>
            <w:color w:val="0000FF"/>
            <w:sz w:val="24"/>
            <w:szCs w:val="24"/>
          </w:rPr>
          <w:t>st36.047</w:t>
        </w:r>
      </w:hyperlink>
      <w:r w:rsidRPr="00872D7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7">
        <w:r w:rsidRPr="00872D7C">
          <w:rPr>
            <w:rFonts w:ascii="Times New Roman" w:hAnsi="Times New Roman" w:cs="Times New Roman"/>
            <w:color w:val="0000FF"/>
            <w:sz w:val="24"/>
            <w:szCs w:val="24"/>
          </w:rPr>
          <w:t>ds36.015</w:t>
        </w:r>
      </w:hyperlink>
      <w:r w:rsidRPr="00872D7C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">
        <w:r w:rsidRPr="00872D7C">
          <w:rPr>
            <w:rFonts w:ascii="Times New Roman" w:hAnsi="Times New Roman" w:cs="Times New Roman"/>
            <w:color w:val="0000FF"/>
            <w:sz w:val="24"/>
            <w:szCs w:val="24"/>
          </w:rPr>
          <w:t>ds36.034</w:t>
        </w:r>
      </w:hyperlink>
      <w:r w:rsidRPr="00872D7C">
        <w:rPr>
          <w:rFonts w:ascii="Times New Roman" w:hAnsi="Times New Roman" w:cs="Times New Roman"/>
          <w:sz w:val="24"/>
          <w:szCs w:val="24"/>
        </w:rPr>
        <w:t xml:space="preserve"> определяется инструкцией к лекарственному препарату и клиническими рекомендациями по соответствующей нозологии.</w:t>
      </w:r>
    </w:p>
    <w:p w:rsidR="001D1825" w:rsidRPr="00872D7C" w:rsidRDefault="001D18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 xml:space="preserve">Выбор КСГ для оплаты случая лечения осуществляется по общим правилам. 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 xml:space="preserve">В ряде случаев стоимость КСГ, определенной по коду основного заболевания, превышает стоимость КСГ с применением генно-инженерных биологических препаратов и селективных иммунодепрессантов (далее - ГИБП и СИ), и оплата в данном случае может осуществляться по КСГ, определенной по коду основного заболевания, при этом учитывается фактическая длительность лечения и наличие у КСГ, определяемой по коду основного заболевания, признака </w:t>
      </w:r>
      <w:proofErr w:type="spellStart"/>
      <w:r w:rsidRPr="00872D7C">
        <w:rPr>
          <w:rFonts w:ascii="Times New Roman" w:hAnsi="Times New Roman" w:cs="Times New Roman"/>
          <w:sz w:val="24"/>
          <w:szCs w:val="24"/>
        </w:rPr>
        <w:t>прерванности</w:t>
      </w:r>
      <w:proofErr w:type="spellEnd"/>
      <w:r w:rsidRPr="00872D7C">
        <w:rPr>
          <w:rFonts w:ascii="Times New Roman" w:hAnsi="Times New Roman" w:cs="Times New Roman"/>
          <w:sz w:val="24"/>
          <w:szCs w:val="24"/>
        </w:rPr>
        <w:t>, в случае длительности госпитализации</w:t>
      </w:r>
      <w:proofErr w:type="gramEnd"/>
      <w:r w:rsidRPr="00872D7C">
        <w:rPr>
          <w:rFonts w:ascii="Times New Roman" w:hAnsi="Times New Roman" w:cs="Times New Roman"/>
          <w:sz w:val="24"/>
          <w:szCs w:val="24"/>
        </w:rPr>
        <w:t xml:space="preserve"> менее 3-х дней.</w:t>
      </w:r>
    </w:p>
    <w:p w:rsidR="00872D7C" w:rsidRPr="00872D7C" w:rsidRDefault="001D18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 xml:space="preserve">В случае лечения пациента лекарственными препаратами в </w:t>
      </w:r>
      <w:proofErr w:type="spellStart"/>
      <w:r w:rsidRPr="00872D7C">
        <w:rPr>
          <w:rFonts w:ascii="Times New Roman" w:hAnsi="Times New Roman" w:cs="Times New Roman"/>
          <w:sz w:val="24"/>
          <w:szCs w:val="24"/>
        </w:rPr>
        <w:t>таблетированной</w:t>
      </w:r>
      <w:proofErr w:type="spellEnd"/>
      <w:r w:rsidRPr="00872D7C">
        <w:rPr>
          <w:rFonts w:ascii="Times New Roman" w:hAnsi="Times New Roman" w:cs="Times New Roman"/>
          <w:sz w:val="24"/>
          <w:szCs w:val="24"/>
        </w:rPr>
        <w:t xml:space="preserve"> форме в стационарных условиях оплата случая осуществляется по КСГ, определенной по коду основного заболевания.</w:t>
      </w:r>
      <w:r w:rsidR="00872D7C" w:rsidRPr="00872D7C">
        <w:rPr>
          <w:rFonts w:ascii="Times New Roman" w:hAnsi="Times New Roman" w:cs="Times New Roman"/>
          <w:sz w:val="24"/>
          <w:szCs w:val="24"/>
        </w:rPr>
        <w:br w:type="page"/>
      </w:r>
    </w:p>
    <w:p w:rsidR="00872D7C" w:rsidRPr="00872D7C" w:rsidRDefault="00872D7C" w:rsidP="00872D7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lastRenderedPageBreak/>
        <w:t>Приложение 10</w:t>
      </w:r>
    </w:p>
    <w:p w:rsidR="00872D7C" w:rsidRPr="00872D7C" w:rsidRDefault="00872D7C" w:rsidP="00872D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2D7C" w:rsidRPr="00872D7C" w:rsidRDefault="00872D7C" w:rsidP="00872D7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6018"/>
      <w:bookmarkEnd w:id="3"/>
      <w:r w:rsidRPr="00872D7C">
        <w:rPr>
          <w:rFonts w:ascii="Times New Roman" w:hAnsi="Times New Roman" w:cs="Times New Roman"/>
          <w:sz w:val="24"/>
          <w:szCs w:val="24"/>
        </w:rPr>
        <w:t>ПРАВИЛА ВЫДЕЛЕНИЯ И ПРИМЕНЕНИЯ ПОДГРУПП</w:t>
      </w:r>
    </w:p>
    <w:p w:rsidR="00872D7C" w:rsidRPr="00872D7C" w:rsidRDefault="00872D7C" w:rsidP="00872D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72D7C" w:rsidRPr="00872D7C" w:rsidRDefault="00872D7C" w:rsidP="00872D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>2-й способ: выделение подгрупп с использованием схемы лекарственной терапии или МНН лекарственных препаратов.</w:t>
      </w:r>
    </w:p>
    <w:p w:rsidR="00872D7C" w:rsidRPr="00872D7C" w:rsidRDefault="00872D7C" w:rsidP="00872D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2D7C">
        <w:rPr>
          <w:rFonts w:ascii="Times New Roman" w:hAnsi="Times New Roman" w:cs="Times New Roman"/>
          <w:sz w:val="24"/>
          <w:szCs w:val="24"/>
        </w:rPr>
        <w:t xml:space="preserve">В рамках данного способа 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>базовая</w:t>
      </w:r>
      <w:proofErr w:type="gramEnd"/>
      <w:r w:rsidRPr="00872D7C">
        <w:rPr>
          <w:rFonts w:ascii="Times New Roman" w:hAnsi="Times New Roman" w:cs="Times New Roman"/>
          <w:sz w:val="24"/>
          <w:szCs w:val="24"/>
        </w:rPr>
        <w:t xml:space="preserve"> КСГ делится на подгруппы на основании схем лекарственной терапии или кодов МНН, как в случае их использования в базовой КСГ, так и при отсутствии схемы/МНН в базовой КСГ. </w:t>
      </w:r>
      <w:proofErr w:type="gramStart"/>
      <w:r w:rsidRPr="00872D7C">
        <w:rPr>
          <w:rFonts w:ascii="Times New Roman" w:hAnsi="Times New Roman" w:cs="Times New Roman"/>
          <w:sz w:val="24"/>
          <w:szCs w:val="24"/>
        </w:rPr>
        <w:t>В случае отсутствия схемы/МНН в базовой КСГ предполагается формирование соответствующего перечня возможных к применению в рамках указанной КСГ лекарственных препаратов строго в соответствии с клиническими рекомендациями.</w:t>
      </w:r>
      <w:proofErr w:type="gramEnd"/>
      <w:r w:rsidRPr="00872D7C">
        <w:rPr>
          <w:rFonts w:ascii="Times New Roman" w:hAnsi="Times New Roman" w:cs="Times New Roman"/>
          <w:sz w:val="24"/>
          <w:szCs w:val="24"/>
        </w:rPr>
        <w:t xml:space="preserve"> Данный способ выделения подгрупп целесообразно применять в случае отсутствия соответствующих услуг по назначению лекарственных препаратов в </w:t>
      </w:r>
      <w:hyperlink r:id="rId19">
        <w:r w:rsidRPr="00872D7C">
          <w:rPr>
            <w:rFonts w:ascii="Times New Roman" w:hAnsi="Times New Roman" w:cs="Times New Roman"/>
            <w:color w:val="0000FF"/>
            <w:sz w:val="24"/>
            <w:szCs w:val="24"/>
          </w:rPr>
          <w:t>Номенклатуре</w:t>
        </w:r>
      </w:hyperlink>
      <w:r w:rsidRPr="00872D7C">
        <w:rPr>
          <w:rFonts w:ascii="Times New Roman" w:hAnsi="Times New Roman" w:cs="Times New Roman"/>
          <w:sz w:val="24"/>
          <w:szCs w:val="24"/>
        </w:rPr>
        <w:t>, но необходимости назначения соответствующего лечения согласно клиническим рекомендациям.</w:t>
      </w:r>
    </w:p>
    <w:p w:rsidR="001D1825" w:rsidRPr="00872D7C" w:rsidRDefault="001D1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1D1825" w:rsidRPr="00872D7C" w:rsidSect="007B5E3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825"/>
    <w:rsid w:val="00013E19"/>
    <w:rsid w:val="000B148A"/>
    <w:rsid w:val="000F7F9A"/>
    <w:rsid w:val="001D1825"/>
    <w:rsid w:val="00714029"/>
    <w:rsid w:val="007B5E33"/>
    <w:rsid w:val="00872D7C"/>
    <w:rsid w:val="00AD5567"/>
    <w:rsid w:val="00C6303C"/>
    <w:rsid w:val="00E4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182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D182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D182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D182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D182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D182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D182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D182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1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8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182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D182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D182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D182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D182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D182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D182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D182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1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081&amp;dst=105496" TargetMode="External"/><Relationship Id="rId13" Type="http://schemas.openxmlformats.org/officeDocument/2006/relationships/hyperlink" Target="https://login.consultant.ru/link/?req=doc&amp;base=LAW&amp;n=495081&amp;dst=109780" TargetMode="External"/><Relationship Id="rId18" Type="http://schemas.openxmlformats.org/officeDocument/2006/relationships/hyperlink" Target="https://login.consultant.ru/link/?req=doc&amp;base=LAW&amp;n=495081&amp;dst=109894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0994" TargetMode="External"/><Relationship Id="rId12" Type="http://schemas.openxmlformats.org/officeDocument/2006/relationships/hyperlink" Target="https://login.consultant.ru/link/?req=doc&amp;base=LAW&amp;n=495081&amp;dst=108283" TargetMode="External"/><Relationship Id="rId17" Type="http://schemas.openxmlformats.org/officeDocument/2006/relationships/hyperlink" Target="https://login.consultant.ru/link/?req=doc&amp;base=LAW&amp;n=495081&amp;dst=1097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5081&amp;dst=108283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" TargetMode="External"/><Relationship Id="rId11" Type="http://schemas.openxmlformats.org/officeDocument/2006/relationships/hyperlink" Target="https://login.consultant.ru/link/?req=doc&amp;base=LAW&amp;n=495081&amp;dst=1081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5081&amp;dst=108168" TargetMode="External"/><Relationship Id="rId10" Type="http://schemas.openxmlformats.org/officeDocument/2006/relationships/hyperlink" Target="https://login.consultant.ru/link/?req=doc&amp;base=LAW&amp;n=470444&amp;dst=100010" TargetMode="External"/><Relationship Id="rId19" Type="http://schemas.openxmlformats.org/officeDocument/2006/relationships/hyperlink" Target="https://login.consultant.ru/link/?req=doc&amp;base=LAW&amp;n=371416&amp;dst=1000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6460&amp;dst=105018" TargetMode="External"/><Relationship Id="rId14" Type="http://schemas.openxmlformats.org/officeDocument/2006/relationships/hyperlink" Target="https://login.consultant.ru/link/?req=doc&amp;base=LAW&amp;n=495081&amp;dst=1098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70EB6-70B0-4490-908D-12B04D0C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Машкова Людмила Валерьевна</dc:creator>
  <cp:lastModifiedBy>Машкова Людмила Валерьевна</cp:lastModifiedBy>
  <cp:revision>2</cp:revision>
  <cp:lastPrinted>2025-05-22T14:26:00Z</cp:lastPrinted>
  <dcterms:created xsi:type="dcterms:W3CDTF">2025-05-22T14:34:00Z</dcterms:created>
  <dcterms:modified xsi:type="dcterms:W3CDTF">2025-05-22T14:34:00Z</dcterms:modified>
</cp:coreProperties>
</file>